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E3" w:rsidRDefault="002D04EC" w:rsidP="003A3DE3">
      <w:pPr>
        <w:shd w:val="clear" w:color="auto" w:fill="FFFFFF"/>
        <w:spacing w:line="0" w:lineRule="atLeast"/>
        <w:jc w:val="center"/>
        <w:rPr>
          <w:b/>
          <w:color w:val="333333"/>
        </w:rPr>
      </w:pPr>
      <w:r>
        <w:rPr>
          <w:b/>
          <w:color w:val="333333"/>
        </w:rPr>
        <w:t xml:space="preserve">ABBANDONO </w:t>
      </w:r>
      <w:proofErr w:type="spellStart"/>
      <w:r>
        <w:rPr>
          <w:b/>
          <w:color w:val="333333"/>
        </w:rPr>
        <w:t>DI</w:t>
      </w:r>
      <w:proofErr w:type="spellEnd"/>
      <w:r>
        <w:rPr>
          <w:b/>
          <w:color w:val="333333"/>
        </w:rPr>
        <w:t xml:space="preserve"> RIFIUTI</w:t>
      </w:r>
      <w:r w:rsidR="001D3CD5">
        <w:rPr>
          <w:b/>
          <w:color w:val="333333"/>
        </w:rPr>
        <w:t xml:space="preserve"> IN AREA SOTTOPOSTA A SEQUESTRO GIUDIZIARIO</w:t>
      </w:r>
    </w:p>
    <w:p w:rsidR="00C012E7" w:rsidRDefault="002D04EC" w:rsidP="00C012E7">
      <w:pPr>
        <w:shd w:val="clear" w:color="auto" w:fill="FFFFFF"/>
        <w:spacing w:line="0" w:lineRule="atLeast"/>
        <w:jc w:val="center"/>
        <w:rPr>
          <w:b/>
          <w:color w:val="333333"/>
        </w:rPr>
      </w:pPr>
      <w:r>
        <w:rPr>
          <w:b/>
          <w:color w:val="333333"/>
        </w:rPr>
        <w:t>VIA OBERDAN - SCAFATI (SA</w:t>
      </w:r>
      <w:r w:rsidR="00F33022" w:rsidRPr="00F33022">
        <w:rPr>
          <w:b/>
          <w:color w:val="333333"/>
        </w:rPr>
        <w:t>)</w:t>
      </w:r>
      <w:r w:rsidR="00C012E7" w:rsidRPr="00C012E7">
        <w:rPr>
          <w:b/>
          <w:color w:val="333333"/>
        </w:rPr>
        <w:t>.</w:t>
      </w:r>
    </w:p>
    <w:p w:rsidR="00EF637A" w:rsidRDefault="00EF637A" w:rsidP="00EF637A">
      <w:pPr>
        <w:shd w:val="clear" w:color="auto" w:fill="FFFFFF"/>
        <w:spacing w:line="0" w:lineRule="atLeast"/>
        <w:jc w:val="center"/>
        <w:outlineLvl w:val="0"/>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w:t>
      </w:r>
      <w:r w:rsidR="00755042">
        <w:rPr>
          <w:b/>
          <w:color w:val="333333"/>
        </w:rPr>
        <w:t>04</w:t>
      </w:r>
      <w:r w:rsidR="00C012E7">
        <w:rPr>
          <w:b/>
          <w:color w:val="333333"/>
        </w:rPr>
        <w:t xml:space="preserve"> </w:t>
      </w:r>
      <w:r w:rsidR="00755042">
        <w:rPr>
          <w:b/>
          <w:color w:val="333333"/>
        </w:rPr>
        <w:t>Agosto</w:t>
      </w:r>
      <w:r w:rsidR="00C012E7">
        <w:rPr>
          <w:b/>
          <w:color w:val="333333"/>
        </w:rPr>
        <w:t xml:space="preserve"> 2021</w:t>
      </w:r>
      <w:r>
        <w:rPr>
          <w:b/>
          <w:color w:val="333333"/>
        </w:rPr>
        <w:t>]</w:t>
      </w:r>
    </w:p>
    <w:p w:rsidR="00755042" w:rsidRDefault="00755042" w:rsidP="007E17B6">
      <w:pPr>
        <w:pStyle w:val="u-text-h6"/>
        <w:shd w:val="clear" w:color="auto" w:fill="FFFFFF"/>
        <w:spacing w:before="0" w:beforeAutospacing="0" w:after="150" w:afterAutospacing="0"/>
        <w:jc w:val="center"/>
        <w:rPr>
          <w:color w:val="333333"/>
          <w:kern w:val="36"/>
        </w:rPr>
      </w:pPr>
      <w:r w:rsidRPr="00755042">
        <w:rPr>
          <w:noProof/>
          <w:color w:val="333333"/>
          <w:kern w:val="36"/>
        </w:rPr>
        <w:drawing>
          <wp:inline distT="0" distB="0" distL="0" distR="0">
            <wp:extent cx="5145405" cy="3433445"/>
            <wp:effectExtent l="19050" t="0" r="0" b="0"/>
            <wp:docPr id="4" name="Immagine 1" descr="https://www.arpacampania.it/image/journal/article?img_id=255568&amp;t=162809126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pacampania.it/image/journal/article?img_id=255568&amp;t=1628091261918"/>
                    <pic:cNvPicPr>
                      <a:picLocks noChangeAspect="1" noChangeArrowheads="1"/>
                    </pic:cNvPicPr>
                  </pic:nvPicPr>
                  <pic:blipFill>
                    <a:blip r:embed="rId8" cstate="print"/>
                    <a:srcRect/>
                    <a:stretch>
                      <a:fillRect/>
                    </a:stretch>
                  </pic:blipFill>
                  <pic:spPr bwMode="auto">
                    <a:xfrm>
                      <a:off x="0" y="0"/>
                      <a:ext cx="5145405" cy="3433445"/>
                    </a:xfrm>
                    <a:prstGeom prst="rect">
                      <a:avLst/>
                    </a:prstGeom>
                    <a:noFill/>
                    <a:ln w="9525">
                      <a:noFill/>
                      <a:miter lim="800000"/>
                      <a:headEnd/>
                      <a:tailEnd/>
                    </a:ln>
                  </pic:spPr>
                </pic:pic>
              </a:graphicData>
            </a:graphic>
          </wp:inline>
        </w:drawing>
      </w:r>
    </w:p>
    <w:p w:rsidR="007E17B6" w:rsidRPr="00755042" w:rsidRDefault="007E17B6" w:rsidP="002D04EC">
      <w:pPr>
        <w:pStyle w:val="u-text-h6"/>
        <w:shd w:val="clear" w:color="auto" w:fill="FFFFFF"/>
        <w:spacing w:before="0" w:beforeAutospacing="0" w:after="0" w:afterAutospacing="0"/>
        <w:jc w:val="center"/>
        <w:rPr>
          <w:color w:val="333333"/>
          <w:kern w:val="36"/>
        </w:rPr>
      </w:pPr>
    </w:p>
    <w:p w:rsidR="00755042" w:rsidRPr="00755042" w:rsidRDefault="00755042" w:rsidP="002D04EC">
      <w:pPr>
        <w:pStyle w:val="u-text-h6"/>
        <w:shd w:val="clear" w:color="auto" w:fill="FFFFFF"/>
        <w:spacing w:before="0" w:beforeAutospacing="0" w:after="0" w:afterAutospacing="0"/>
        <w:jc w:val="both"/>
        <w:rPr>
          <w:color w:val="333333"/>
          <w:kern w:val="36"/>
        </w:rPr>
      </w:pPr>
      <w:r w:rsidRPr="00755042">
        <w:rPr>
          <w:color w:val="333333"/>
          <w:kern w:val="36"/>
        </w:rPr>
        <w:t>Il 1 agosto u.s. i tecnici dell’Arpac sono intervenuti, su richiesta dei Vigili del Fuoco della stazione di Sarno, per un incendio verificatosi in un’area di circa 10mila mq interessata da abbandono di rifiuti, in Via Oberdan nel comune di Scafati, già sottoposta a sequestro giudiziario.</w:t>
      </w:r>
    </w:p>
    <w:p w:rsidR="00755042" w:rsidRPr="00755042" w:rsidRDefault="00755042" w:rsidP="002D04EC">
      <w:pPr>
        <w:pStyle w:val="u-text-h6"/>
        <w:shd w:val="clear" w:color="auto" w:fill="FFFFFF"/>
        <w:spacing w:before="0" w:beforeAutospacing="0" w:after="0" w:afterAutospacing="0"/>
        <w:jc w:val="both"/>
        <w:rPr>
          <w:color w:val="333333"/>
          <w:kern w:val="36"/>
        </w:rPr>
      </w:pPr>
      <w:r w:rsidRPr="00755042">
        <w:rPr>
          <w:color w:val="333333"/>
          <w:kern w:val="36"/>
        </w:rPr>
        <w:t xml:space="preserve">L’incendio ha coinvolto oltre alla vegetazione anche rifiuti abbandonati tipo: </w:t>
      </w:r>
      <w:proofErr w:type="spellStart"/>
      <w:r w:rsidRPr="00755042">
        <w:rPr>
          <w:color w:val="333333"/>
          <w:kern w:val="36"/>
        </w:rPr>
        <w:t>sfrido</w:t>
      </w:r>
      <w:proofErr w:type="spellEnd"/>
      <w:r w:rsidRPr="00755042">
        <w:rPr>
          <w:color w:val="333333"/>
          <w:kern w:val="36"/>
        </w:rPr>
        <w:t xml:space="preserve"> di tubazioni in </w:t>
      </w:r>
      <w:proofErr w:type="spellStart"/>
      <w:r w:rsidRPr="00755042">
        <w:rPr>
          <w:color w:val="333333"/>
          <w:kern w:val="36"/>
        </w:rPr>
        <w:t>pvc</w:t>
      </w:r>
      <w:proofErr w:type="spellEnd"/>
      <w:r w:rsidRPr="00755042">
        <w:rPr>
          <w:color w:val="333333"/>
          <w:kern w:val="36"/>
        </w:rPr>
        <w:t>, pneumatici fuori uso, materiale plastico, materiale di risulta provenienti da lavorazioni edili, filtri d’auto, etc.</w:t>
      </w:r>
      <w:r w:rsidR="002D04EC">
        <w:rPr>
          <w:color w:val="333333"/>
          <w:kern w:val="36"/>
        </w:rPr>
        <w:t xml:space="preserve"> </w:t>
      </w:r>
      <w:r w:rsidRPr="00755042">
        <w:rPr>
          <w:color w:val="333333"/>
          <w:kern w:val="36"/>
        </w:rPr>
        <w:t>Il giorno successivo i tecnici dell’Unità Operativa Aria ed Agenti Fisici (U.O. ARFI) con la collaborazione del personale del comune di Scafati, hanno individuato un’area dell’ex tabacchificio attualmente di proprietà del comune - sita in via Armando Diaz e distante in linea d’aria dall’incendio circa 250 metri - per il posizionamento di un mezzo mobile finalizzato al campionamento di aria per la ricerca di diossine e furani mediante un campionatore ad alto volume e di PM10-IPA-Metalli mediante una pompa a flusso costante.</w:t>
      </w:r>
    </w:p>
    <w:p w:rsidR="00755042" w:rsidRDefault="00755042" w:rsidP="00755042">
      <w:pPr>
        <w:pStyle w:val="u-text-h6"/>
        <w:shd w:val="clear" w:color="auto" w:fill="FFFFFF"/>
        <w:spacing w:before="0" w:beforeAutospacing="0" w:after="150" w:afterAutospacing="0"/>
        <w:jc w:val="both"/>
        <w:rPr>
          <w:color w:val="333333"/>
          <w:kern w:val="36"/>
        </w:rPr>
      </w:pPr>
      <w:r w:rsidRPr="00755042">
        <w:rPr>
          <w:color w:val="333333"/>
          <w:kern w:val="36"/>
        </w:rPr>
        <w:t>Gli esiti analitici saranno resi pubblici appena disponibili.</w:t>
      </w:r>
    </w:p>
    <w:p w:rsidR="00C9491D" w:rsidRDefault="00C9491D" w:rsidP="00C9491D">
      <w:pPr>
        <w:shd w:val="clear" w:color="auto" w:fill="FFFFFF"/>
        <w:spacing w:after="240"/>
        <w:jc w:val="both"/>
        <w:rPr>
          <w:b/>
          <w:color w:val="333333"/>
        </w:rPr>
      </w:pPr>
      <w:r>
        <w:rPr>
          <w:b/>
          <w:color w:val="333333"/>
        </w:rPr>
        <w:t>[10 Agosto 2021]</w:t>
      </w:r>
    </w:p>
    <w:p w:rsidR="00B67004" w:rsidRPr="00C9491D" w:rsidRDefault="00B67004" w:rsidP="00B67004">
      <w:pPr>
        <w:pStyle w:val="u-text-h6"/>
        <w:shd w:val="clear" w:color="auto" w:fill="FFFFFF"/>
        <w:spacing w:before="0" w:beforeAutospacing="0" w:after="0" w:afterAutospacing="0"/>
        <w:jc w:val="both"/>
        <w:rPr>
          <w:color w:val="333333"/>
          <w:kern w:val="36"/>
        </w:rPr>
      </w:pPr>
      <w:r w:rsidRPr="00B67004">
        <w:rPr>
          <w:color w:val="333333"/>
          <w:kern w:val="36"/>
        </w:rPr>
        <w:t xml:space="preserve">Si è concluso il monitoraggio degli inquinanti atmosferici, </w:t>
      </w:r>
      <w:r w:rsidRPr="00C9491D">
        <w:rPr>
          <w:color w:val="333333"/>
          <w:kern w:val="36"/>
        </w:rPr>
        <w:t>avviato da Arpac dal 2 agosto u.s., a seguito dell’</w:t>
      </w:r>
      <w:r w:rsidRPr="00C9491D">
        <w:rPr>
          <w:bCs/>
          <w:color w:val="333333"/>
          <w:kern w:val="36"/>
        </w:rPr>
        <w:t>incendio verificatosi in via Oberdan nel Comune di Scafati</w:t>
      </w:r>
      <w:r w:rsidRPr="00C9491D">
        <w:rPr>
          <w:color w:val="333333"/>
          <w:kern w:val="36"/>
        </w:rPr>
        <w:t xml:space="preserve">. Sono disponibili i risultati </w:t>
      </w:r>
      <w:r w:rsidRPr="00C9491D">
        <w:rPr>
          <w:color w:val="333333"/>
          <w:kern w:val="36"/>
        </w:rPr>
        <w:lastRenderedPageBreak/>
        <w:t>relativi ai campionamenti per rilevare</w:t>
      </w:r>
      <w:r w:rsidRPr="00C9491D">
        <w:rPr>
          <w:bCs/>
          <w:color w:val="333333"/>
          <w:kern w:val="36"/>
        </w:rPr>
        <w:t> le concentrazioni di diossine e furani</w:t>
      </w:r>
      <w:r w:rsidRPr="00C9491D">
        <w:rPr>
          <w:color w:val="333333"/>
          <w:kern w:val="36"/>
        </w:rPr>
        <w:t xml:space="preserve"> effettuati in tre cicli successivi di 24 ore. </w:t>
      </w:r>
    </w:p>
    <w:p w:rsidR="00B67004" w:rsidRPr="00C9491D" w:rsidRDefault="00B67004" w:rsidP="00B67004">
      <w:pPr>
        <w:pStyle w:val="u-text-h6"/>
        <w:shd w:val="clear" w:color="auto" w:fill="FFFFFF"/>
        <w:spacing w:before="0" w:beforeAutospacing="0" w:after="0" w:afterAutospacing="0"/>
        <w:jc w:val="both"/>
        <w:rPr>
          <w:color w:val="333333"/>
          <w:kern w:val="36"/>
        </w:rPr>
      </w:pPr>
      <w:r w:rsidRPr="00C9491D">
        <w:rPr>
          <w:color w:val="333333"/>
          <w:kern w:val="36"/>
        </w:rPr>
        <w:t xml:space="preserve">I risultati del primo giorno (2/3 agosto) sono pari a 0,18 </w:t>
      </w:r>
      <w:proofErr w:type="spellStart"/>
      <w:r w:rsidRPr="00C9491D">
        <w:rPr>
          <w:color w:val="333333"/>
          <w:kern w:val="36"/>
        </w:rPr>
        <w:t>pg</w:t>
      </w:r>
      <w:proofErr w:type="spellEnd"/>
      <w:r w:rsidRPr="00C9491D">
        <w:rPr>
          <w:color w:val="333333"/>
          <w:kern w:val="36"/>
        </w:rPr>
        <w:t>/Nm</w:t>
      </w:r>
      <w:r w:rsidRPr="00C9491D">
        <w:rPr>
          <w:color w:val="333333"/>
          <w:kern w:val="36"/>
          <w:vertAlign w:val="superscript"/>
        </w:rPr>
        <w:t>3</w:t>
      </w:r>
      <w:r w:rsidRPr="00C9491D">
        <w:rPr>
          <w:color w:val="333333"/>
          <w:kern w:val="36"/>
        </w:rPr>
        <w:t xml:space="preserve"> </w:t>
      </w:r>
      <w:proofErr w:type="spellStart"/>
      <w:r w:rsidRPr="00C9491D">
        <w:rPr>
          <w:color w:val="333333"/>
          <w:kern w:val="36"/>
        </w:rPr>
        <w:t>I-T.E.Q.</w:t>
      </w:r>
      <w:proofErr w:type="spellEnd"/>
      <w:r w:rsidRPr="00C9491D">
        <w:rPr>
          <w:color w:val="333333"/>
          <w:kern w:val="36"/>
        </w:rPr>
        <w:t xml:space="preserve">, i risultati del secondo giorno (3/4 agosto) sono pari a 0,016 </w:t>
      </w:r>
      <w:proofErr w:type="spellStart"/>
      <w:r w:rsidRPr="00C9491D">
        <w:rPr>
          <w:color w:val="333333"/>
          <w:kern w:val="36"/>
        </w:rPr>
        <w:t>pg</w:t>
      </w:r>
      <w:proofErr w:type="spellEnd"/>
      <w:r w:rsidRPr="00C9491D">
        <w:rPr>
          <w:color w:val="333333"/>
          <w:kern w:val="36"/>
        </w:rPr>
        <w:t>/Nm</w:t>
      </w:r>
      <w:r w:rsidRPr="00C9491D">
        <w:rPr>
          <w:color w:val="333333"/>
          <w:kern w:val="36"/>
          <w:vertAlign w:val="superscript"/>
        </w:rPr>
        <w:t>3</w:t>
      </w:r>
      <w:r w:rsidRPr="00C9491D">
        <w:rPr>
          <w:color w:val="333333"/>
          <w:kern w:val="36"/>
        </w:rPr>
        <w:t xml:space="preserve"> </w:t>
      </w:r>
      <w:proofErr w:type="spellStart"/>
      <w:r w:rsidRPr="00C9491D">
        <w:rPr>
          <w:color w:val="333333"/>
          <w:kern w:val="36"/>
        </w:rPr>
        <w:t>I-T.E.Q.</w:t>
      </w:r>
      <w:proofErr w:type="spellEnd"/>
      <w:r w:rsidRPr="00C9491D">
        <w:rPr>
          <w:color w:val="333333"/>
          <w:kern w:val="36"/>
        </w:rPr>
        <w:t xml:space="preserve"> e quelli del terzo giorno (4/5 agosto) sono pari a &lt;0,0145 </w:t>
      </w:r>
      <w:proofErr w:type="spellStart"/>
      <w:r w:rsidRPr="00C9491D">
        <w:rPr>
          <w:color w:val="333333"/>
          <w:kern w:val="36"/>
        </w:rPr>
        <w:t>pg</w:t>
      </w:r>
      <w:proofErr w:type="spellEnd"/>
      <w:r w:rsidRPr="00C9491D">
        <w:rPr>
          <w:color w:val="333333"/>
          <w:kern w:val="36"/>
        </w:rPr>
        <w:t>/Nm</w:t>
      </w:r>
      <w:r w:rsidRPr="00C9491D">
        <w:rPr>
          <w:color w:val="333333"/>
          <w:kern w:val="36"/>
          <w:vertAlign w:val="superscript"/>
        </w:rPr>
        <w:t>3</w:t>
      </w:r>
      <w:r w:rsidRPr="00C9491D">
        <w:rPr>
          <w:color w:val="333333"/>
          <w:kern w:val="36"/>
        </w:rPr>
        <w:t xml:space="preserve"> </w:t>
      </w:r>
      <w:proofErr w:type="spellStart"/>
      <w:r w:rsidRPr="00C9491D">
        <w:rPr>
          <w:color w:val="333333"/>
          <w:kern w:val="36"/>
        </w:rPr>
        <w:t>I-T.E.Q.</w:t>
      </w:r>
      <w:proofErr w:type="spellEnd"/>
      <w:r w:rsidRPr="00C9491D">
        <w:rPr>
          <w:color w:val="333333"/>
          <w:kern w:val="36"/>
        </w:rPr>
        <w:t xml:space="preserve"> (picogrammi per </w:t>
      </w:r>
      <w:proofErr w:type="spellStart"/>
      <w:r w:rsidRPr="00C9491D">
        <w:rPr>
          <w:color w:val="333333"/>
          <w:kern w:val="36"/>
        </w:rPr>
        <w:t>normal</w:t>
      </w:r>
      <w:proofErr w:type="spellEnd"/>
      <w:r w:rsidRPr="00C9491D">
        <w:rPr>
          <w:color w:val="333333"/>
          <w:kern w:val="36"/>
        </w:rPr>
        <w:t xml:space="preserve"> metro cubo in termini di tossicità totale equivalente).  </w:t>
      </w:r>
      <w:r w:rsidRPr="00C9491D">
        <w:rPr>
          <w:color w:val="333333"/>
          <w:kern w:val="36"/>
        </w:rPr>
        <w:br/>
        <w:t xml:space="preserve">Si osserva, quindi, che dal valore di concentrazione leggermente superiore al valore di riferimento proposto dal </w:t>
      </w:r>
      <w:proofErr w:type="spellStart"/>
      <w:r w:rsidRPr="00C9491D">
        <w:rPr>
          <w:color w:val="333333"/>
          <w:kern w:val="36"/>
        </w:rPr>
        <w:t>Laender</w:t>
      </w:r>
      <w:proofErr w:type="spellEnd"/>
      <w:r w:rsidRPr="00C9491D">
        <w:rPr>
          <w:color w:val="333333"/>
          <w:kern w:val="36"/>
        </w:rPr>
        <w:t xml:space="preserve"> </w:t>
      </w:r>
      <w:proofErr w:type="spellStart"/>
      <w:r w:rsidRPr="00C9491D">
        <w:rPr>
          <w:color w:val="333333"/>
          <w:kern w:val="36"/>
        </w:rPr>
        <w:t>Ausschuss</w:t>
      </w:r>
      <w:proofErr w:type="spellEnd"/>
      <w:r w:rsidRPr="00C9491D">
        <w:rPr>
          <w:color w:val="333333"/>
          <w:kern w:val="36"/>
        </w:rPr>
        <w:t xml:space="preserve"> fuer Immissionsschutz (LAI – Germania), generalmente utilizzato come riferimento dalla comunità scientifica (0,15 </w:t>
      </w:r>
      <w:proofErr w:type="spellStart"/>
      <w:r w:rsidR="0057370E" w:rsidRPr="00C9491D">
        <w:rPr>
          <w:color w:val="333333"/>
          <w:kern w:val="36"/>
        </w:rPr>
        <w:t>pg</w:t>
      </w:r>
      <w:proofErr w:type="spellEnd"/>
      <w:r w:rsidR="0057370E" w:rsidRPr="00C9491D">
        <w:rPr>
          <w:color w:val="333333"/>
          <w:kern w:val="36"/>
        </w:rPr>
        <w:t>/Nm</w:t>
      </w:r>
      <w:r w:rsidR="0057370E" w:rsidRPr="00C9491D">
        <w:rPr>
          <w:color w:val="333333"/>
          <w:kern w:val="36"/>
          <w:vertAlign w:val="superscript"/>
        </w:rPr>
        <w:t>3</w:t>
      </w:r>
      <w:r w:rsidRPr="00C9491D">
        <w:rPr>
          <w:color w:val="333333"/>
          <w:kern w:val="36"/>
        </w:rPr>
        <w:t>), si passa a un valore nettamente inferiore nel secondo giorno e </w:t>
      </w:r>
      <w:r w:rsidRPr="00C9491D">
        <w:rPr>
          <w:bCs/>
          <w:color w:val="333333"/>
          <w:kern w:val="36"/>
        </w:rPr>
        <w:t>inferiore al limite di rilevabilità nel terzo giorno di monitoraggio.</w:t>
      </w:r>
      <w:r w:rsidRPr="00C9491D">
        <w:rPr>
          <w:color w:val="333333"/>
          <w:kern w:val="36"/>
        </w:rPr>
        <w:br/>
        <w:t>I risultati dei tre campionamenti di PM10 e idrocarburi policiclici aromatici (IPA) saranno diffusi non appena disponibili.</w:t>
      </w:r>
    </w:p>
    <w:p w:rsidR="00755042" w:rsidRDefault="00755042" w:rsidP="00B67004">
      <w:pPr>
        <w:pStyle w:val="u-text-h6"/>
        <w:shd w:val="clear" w:color="auto" w:fill="FFFFFF"/>
        <w:spacing w:before="0" w:beforeAutospacing="0" w:after="0" w:afterAutospacing="0"/>
        <w:jc w:val="both"/>
        <w:rPr>
          <w:color w:val="333333"/>
          <w:kern w:val="36"/>
        </w:rPr>
      </w:pPr>
    </w:p>
    <w:sectPr w:rsidR="00755042" w:rsidSect="0098048D">
      <w:headerReference w:type="default" r:id="rId9"/>
      <w:footerReference w:type="default" r:id="rId10"/>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C3" w:rsidRDefault="005A7CC3" w:rsidP="00D05292">
      <w:r>
        <w:separator/>
      </w:r>
    </w:p>
  </w:endnote>
  <w:endnote w:type="continuationSeparator" w:id="0">
    <w:p w:rsidR="005A7CC3" w:rsidRDefault="005A7CC3"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5608BB">
      <w:rPr>
        <w:noProof/>
      </w:rPr>
      <w:fldChar w:fldCharType="begin"/>
    </w:r>
    <w:r w:rsidR="00B33F89">
      <w:rPr>
        <w:noProof/>
      </w:rPr>
      <w:instrText xml:space="preserve"> PAGE   \* MERGEFORMAT </w:instrText>
    </w:r>
    <w:r w:rsidR="005608BB">
      <w:rPr>
        <w:noProof/>
      </w:rPr>
      <w:fldChar w:fldCharType="separate"/>
    </w:r>
    <w:r w:rsidR="001D3CD5">
      <w:rPr>
        <w:noProof/>
      </w:rPr>
      <w:t>1</w:t>
    </w:r>
    <w:r w:rsidR="005608BB">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C3" w:rsidRDefault="005A7CC3" w:rsidP="00D05292">
      <w:r>
        <w:separator/>
      </w:r>
    </w:p>
  </w:footnote>
  <w:footnote w:type="continuationSeparator" w:id="0">
    <w:p w:rsidR="005A7CC3" w:rsidRDefault="005A7CC3"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29698"/>
  </w:hdrShapeDefaults>
  <w:footnotePr>
    <w:footnote w:id="-1"/>
    <w:footnote w:id="0"/>
  </w:footnotePr>
  <w:endnotePr>
    <w:endnote w:id="-1"/>
    <w:endnote w:id="0"/>
  </w:endnotePr>
  <w:compat/>
  <w:rsids>
    <w:rsidRoot w:val="00D05292"/>
    <w:rsid w:val="000022E2"/>
    <w:rsid w:val="00003E0A"/>
    <w:rsid w:val="000156C6"/>
    <w:rsid w:val="00033695"/>
    <w:rsid w:val="00034BFF"/>
    <w:rsid w:val="00036145"/>
    <w:rsid w:val="00051506"/>
    <w:rsid w:val="000858EA"/>
    <w:rsid w:val="000A00BE"/>
    <w:rsid w:val="000A2DED"/>
    <w:rsid w:val="000B27DE"/>
    <w:rsid w:val="000C2C51"/>
    <w:rsid w:val="000D5668"/>
    <w:rsid w:val="00106D38"/>
    <w:rsid w:val="00114492"/>
    <w:rsid w:val="00116367"/>
    <w:rsid w:val="00121F8B"/>
    <w:rsid w:val="00142D6D"/>
    <w:rsid w:val="00152D69"/>
    <w:rsid w:val="001541B8"/>
    <w:rsid w:val="00165708"/>
    <w:rsid w:val="001714A0"/>
    <w:rsid w:val="00187A7C"/>
    <w:rsid w:val="001D3CD5"/>
    <w:rsid w:val="001D7D5D"/>
    <w:rsid w:val="001E6A8E"/>
    <w:rsid w:val="001F2341"/>
    <w:rsid w:val="00207D8F"/>
    <w:rsid w:val="00213BB1"/>
    <w:rsid w:val="00232580"/>
    <w:rsid w:val="00241D15"/>
    <w:rsid w:val="00246494"/>
    <w:rsid w:val="00255BE7"/>
    <w:rsid w:val="00262955"/>
    <w:rsid w:val="00270104"/>
    <w:rsid w:val="00274F70"/>
    <w:rsid w:val="00276705"/>
    <w:rsid w:val="00287B8D"/>
    <w:rsid w:val="00290158"/>
    <w:rsid w:val="002913FE"/>
    <w:rsid w:val="002B1A55"/>
    <w:rsid w:val="002C3268"/>
    <w:rsid w:val="002D04EC"/>
    <w:rsid w:val="002D2284"/>
    <w:rsid w:val="002D28D6"/>
    <w:rsid w:val="002F0CD3"/>
    <w:rsid w:val="002F22A3"/>
    <w:rsid w:val="00303E6D"/>
    <w:rsid w:val="0030464C"/>
    <w:rsid w:val="00317E77"/>
    <w:rsid w:val="00322845"/>
    <w:rsid w:val="00346507"/>
    <w:rsid w:val="00350D1A"/>
    <w:rsid w:val="00355F4F"/>
    <w:rsid w:val="003616B8"/>
    <w:rsid w:val="00377D69"/>
    <w:rsid w:val="003A3DE3"/>
    <w:rsid w:val="003B2516"/>
    <w:rsid w:val="003E1A7F"/>
    <w:rsid w:val="003F2012"/>
    <w:rsid w:val="004045B4"/>
    <w:rsid w:val="0041212A"/>
    <w:rsid w:val="00417CFB"/>
    <w:rsid w:val="004336E6"/>
    <w:rsid w:val="00434D60"/>
    <w:rsid w:val="004635C6"/>
    <w:rsid w:val="0046564B"/>
    <w:rsid w:val="00467210"/>
    <w:rsid w:val="00467F33"/>
    <w:rsid w:val="00492A23"/>
    <w:rsid w:val="004B7956"/>
    <w:rsid w:val="004B7A84"/>
    <w:rsid w:val="004C74F8"/>
    <w:rsid w:val="004D00FA"/>
    <w:rsid w:val="004D5C56"/>
    <w:rsid w:val="004E6494"/>
    <w:rsid w:val="005106C0"/>
    <w:rsid w:val="00530593"/>
    <w:rsid w:val="005427BF"/>
    <w:rsid w:val="00542E88"/>
    <w:rsid w:val="00544348"/>
    <w:rsid w:val="00551571"/>
    <w:rsid w:val="005608BB"/>
    <w:rsid w:val="005620AF"/>
    <w:rsid w:val="00572187"/>
    <w:rsid w:val="0057370E"/>
    <w:rsid w:val="00585BDD"/>
    <w:rsid w:val="0058720B"/>
    <w:rsid w:val="005A1C6D"/>
    <w:rsid w:val="005A7B5D"/>
    <w:rsid w:val="005A7CC3"/>
    <w:rsid w:val="005B2A9A"/>
    <w:rsid w:val="005B38C7"/>
    <w:rsid w:val="005C04C8"/>
    <w:rsid w:val="005C3CAC"/>
    <w:rsid w:val="005D5ABA"/>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73DC"/>
    <w:rsid w:val="006B0FA2"/>
    <w:rsid w:val="006C495B"/>
    <w:rsid w:val="006E4DB6"/>
    <w:rsid w:val="00700F8E"/>
    <w:rsid w:val="007230F1"/>
    <w:rsid w:val="0072369F"/>
    <w:rsid w:val="00755042"/>
    <w:rsid w:val="00765311"/>
    <w:rsid w:val="007777BA"/>
    <w:rsid w:val="00792D4E"/>
    <w:rsid w:val="007933B8"/>
    <w:rsid w:val="0079504A"/>
    <w:rsid w:val="007A3D42"/>
    <w:rsid w:val="007A6218"/>
    <w:rsid w:val="007A69A7"/>
    <w:rsid w:val="007D4798"/>
    <w:rsid w:val="007E17B6"/>
    <w:rsid w:val="007E3CD3"/>
    <w:rsid w:val="007F6773"/>
    <w:rsid w:val="008119DB"/>
    <w:rsid w:val="00815ECD"/>
    <w:rsid w:val="00834281"/>
    <w:rsid w:val="00842893"/>
    <w:rsid w:val="00847BA7"/>
    <w:rsid w:val="00850A02"/>
    <w:rsid w:val="008610A9"/>
    <w:rsid w:val="00870E4C"/>
    <w:rsid w:val="00872FC8"/>
    <w:rsid w:val="00877DC8"/>
    <w:rsid w:val="00887BA5"/>
    <w:rsid w:val="00887CB3"/>
    <w:rsid w:val="0089179A"/>
    <w:rsid w:val="00893D4E"/>
    <w:rsid w:val="008A525A"/>
    <w:rsid w:val="008B0CA1"/>
    <w:rsid w:val="008B314C"/>
    <w:rsid w:val="008C6C0F"/>
    <w:rsid w:val="008C740C"/>
    <w:rsid w:val="008D1D77"/>
    <w:rsid w:val="008D74D5"/>
    <w:rsid w:val="008E5FEB"/>
    <w:rsid w:val="008E7512"/>
    <w:rsid w:val="009204B1"/>
    <w:rsid w:val="00923B87"/>
    <w:rsid w:val="00925F3E"/>
    <w:rsid w:val="00940576"/>
    <w:rsid w:val="0095786E"/>
    <w:rsid w:val="00963536"/>
    <w:rsid w:val="00963D6A"/>
    <w:rsid w:val="0098048D"/>
    <w:rsid w:val="0098201B"/>
    <w:rsid w:val="009824A1"/>
    <w:rsid w:val="00983BBF"/>
    <w:rsid w:val="009A2C77"/>
    <w:rsid w:val="009B0DD2"/>
    <w:rsid w:val="009B460B"/>
    <w:rsid w:val="009D1192"/>
    <w:rsid w:val="009E6D1F"/>
    <w:rsid w:val="009F0138"/>
    <w:rsid w:val="00A0063D"/>
    <w:rsid w:val="00A029CB"/>
    <w:rsid w:val="00A04B37"/>
    <w:rsid w:val="00A46262"/>
    <w:rsid w:val="00A47850"/>
    <w:rsid w:val="00A51D7A"/>
    <w:rsid w:val="00A53444"/>
    <w:rsid w:val="00A9220A"/>
    <w:rsid w:val="00A934A9"/>
    <w:rsid w:val="00A96F3A"/>
    <w:rsid w:val="00AA5F7D"/>
    <w:rsid w:val="00AB3286"/>
    <w:rsid w:val="00AC278C"/>
    <w:rsid w:val="00AD3873"/>
    <w:rsid w:val="00AD3BA4"/>
    <w:rsid w:val="00AD50A1"/>
    <w:rsid w:val="00AD5630"/>
    <w:rsid w:val="00AD7635"/>
    <w:rsid w:val="00AF4CFA"/>
    <w:rsid w:val="00B22668"/>
    <w:rsid w:val="00B321CF"/>
    <w:rsid w:val="00B33F89"/>
    <w:rsid w:val="00B3560F"/>
    <w:rsid w:val="00B40FAD"/>
    <w:rsid w:val="00B43CEB"/>
    <w:rsid w:val="00B67004"/>
    <w:rsid w:val="00B71A68"/>
    <w:rsid w:val="00B812C1"/>
    <w:rsid w:val="00B82FEC"/>
    <w:rsid w:val="00BA1CB1"/>
    <w:rsid w:val="00BC5A31"/>
    <w:rsid w:val="00BF1161"/>
    <w:rsid w:val="00BF4CE0"/>
    <w:rsid w:val="00C012E7"/>
    <w:rsid w:val="00C1271F"/>
    <w:rsid w:val="00C262BA"/>
    <w:rsid w:val="00C2760B"/>
    <w:rsid w:val="00C3446B"/>
    <w:rsid w:val="00C41C75"/>
    <w:rsid w:val="00C602D9"/>
    <w:rsid w:val="00C75150"/>
    <w:rsid w:val="00C80FED"/>
    <w:rsid w:val="00C81160"/>
    <w:rsid w:val="00C81E84"/>
    <w:rsid w:val="00C829FD"/>
    <w:rsid w:val="00C86545"/>
    <w:rsid w:val="00C93ED0"/>
    <w:rsid w:val="00C9491D"/>
    <w:rsid w:val="00CA6140"/>
    <w:rsid w:val="00CA6E18"/>
    <w:rsid w:val="00CB0438"/>
    <w:rsid w:val="00CC3D60"/>
    <w:rsid w:val="00CC55B9"/>
    <w:rsid w:val="00CF15D1"/>
    <w:rsid w:val="00D0110A"/>
    <w:rsid w:val="00D05292"/>
    <w:rsid w:val="00D07C58"/>
    <w:rsid w:val="00D11DFD"/>
    <w:rsid w:val="00D167F5"/>
    <w:rsid w:val="00D230B8"/>
    <w:rsid w:val="00D26BA5"/>
    <w:rsid w:val="00D57DB3"/>
    <w:rsid w:val="00D64511"/>
    <w:rsid w:val="00D67D64"/>
    <w:rsid w:val="00D75329"/>
    <w:rsid w:val="00D86676"/>
    <w:rsid w:val="00DC6A74"/>
    <w:rsid w:val="00DD1EC0"/>
    <w:rsid w:val="00E01A77"/>
    <w:rsid w:val="00E261BA"/>
    <w:rsid w:val="00E55A69"/>
    <w:rsid w:val="00E71E23"/>
    <w:rsid w:val="00E74D86"/>
    <w:rsid w:val="00E82727"/>
    <w:rsid w:val="00E845DA"/>
    <w:rsid w:val="00E95B61"/>
    <w:rsid w:val="00EA1D67"/>
    <w:rsid w:val="00EA244B"/>
    <w:rsid w:val="00ED0301"/>
    <w:rsid w:val="00ED65E7"/>
    <w:rsid w:val="00ED77A5"/>
    <w:rsid w:val="00ED77E7"/>
    <w:rsid w:val="00EE6B16"/>
    <w:rsid w:val="00EF637A"/>
    <w:rsid w:val="00F0232B"/>
    <w:rsid w:val="00F05A3C"/>
    <w:rsid w:val="00F1754A"/>
    <w:rsid w:val="00F25FAE"/>
    <w:rsid w:val="00F314AA"/>
    <w:rsid w:val="00F31F0D"/>
    <w:rsid w:val="00F31FA6"/>
    <w:rsid w:val="00F33022"/>
    <w:rsid w:val="00F340A0"/>
    <w:rsid w:val="00F5207C"/>
    <w:rsid w:val="00F62F7D"/>
    <w:rsid w:val="00F750A3"/>
    <w:rsid w:val="00F8628D"/>
    <w:rsid w:val="00F908C7"/>
    <w:rsid w:val="00F96382"/>
    <w:rsid w:val="00FA058E"/>
    <w:rsid w:val="00FB0959"/>
    <w:rsid w:val="00FB305C"/>
    <w:rsid w:val="00FB3C99"/>
    <w:rsid w:val="00FB79FA"/>
    <w:rsid w:val="00FC1F51"/>
    <w:rsid w:val="00FD3D67"/>
    <w:rsid w:val="00FF0A60"/>
    <w:rsid w:val="00FF3C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 w:type="paragraph" w:customStyle="1" w:styleId="u-text-h6">
    <w:name w:val="u-text-h6"/>
    <w:basedOn w:val="Normale"/>
    <w:rsid w:val="009405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653446">
      <w:bodyDiv w:val="1"/>
      <w:marLeft w:val="0"/>
      <w:marRight w:val="0"/>
      <w:marTop w:val="0"/>
      <w:marBottom w:val="0"/>
      <w:divBdr>
        <w:top w:val="none" w:sz="0" w:space="0" w:color="auto"/>
        <w:left w:val="none" w:sz="0" w:space="0" w:color="auto"/>
        <w:bottom w:val="none" w:sz="0" w:space="0" w:color="auto"/>
        <w:right w:val="none" w:sz="0" w:space="0" w:color="auto"/>
      </w:divBdr>
    </w:div>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743063365">
      <w:bodyDiv w:val="1"/>
      <w:marLeft w:val="0"/>
      <w:marRight w:val="0"/>
      <w:marTop w:val="0"/>
      <w:marBottom w:val="0"/>
      <w:divBdr>
        <w:top w:val="none" w:sz="0" w:space="0" w:color="auto"/>
        <w:left w:val="none" w:sz="0" w:space="0" w:color="auto"/>
        <w:bottom w:val="none" w:sz="0" w:space="0" w:color="auto"/>
        <w:right w:val="none" w:sz="0" w:space="0" w:color="auto"/>
      </w:divBdr>
    </w:div>
    <w:div w:id="79352481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01617771">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5BD2-F0DB-48E5-8F02-E7A4D061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370</Words>
  <Characters>2113</Characters>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2021-04-12T08:44:00Z</dcterms:created>
  <dcterms:modified xsi:type="dcterms:W3CDTF">2021-09-28T10:37:00Z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